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The Marriage Reset Workbook</w:t>
      </w:r>
    </w:p>
    <w:p>
      <w:r>
        <w:t>Final polished workbook edition with updated final page, corrected lesson order, branding improvements, and refined course flow.</w:t>
      </w:r>
    </w:p>
    <w:p>
      <w:r>
        <w:br w:type="page"/>
      </w:r>
    </w:p>
    <w:p>
      <w:pPr>
        <w:pStyle w:val="Heading2"/>
      </w:pPr>
      <w:r>
        <w:t>Final Step &amp; Ongoing Rhythm</w:t>
      </w:r>
    </w:p>
    <w:p>
      <w:r>
        <w:drawing>
          <wp:inline xmlns:a="http://schemas.openxmlformats.org/drawingml/2006/main" xmlns:pic="http://schemas.openxmlformats.org/drawingml/2006/picture">
            <wp:extent cx="5943600" cy="769647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_clean_professional_workbook_page_layout_no_pe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4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color w:val="666666"/>
          <w:sz w:val="16"/>
        </w:rPr>
        <w:t>© FinishTheRace.com — For enrolled participants only. Duplication, redistribution, resale, uploading, or public sharing is prohibited.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